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21C21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21C21">
        <w:rPr>
          <w:rFonts w:ascii="Times New Roman" w:hAnsi="Times New Roman"/>
          <w:noProof/>
        </w:rPr>
        <w:t>488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21C21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21C21">
        <w:rPr>
          <w:b/>
          <w:i/>
          <w:color w:val="000000"/>
          <w:sz w:val="22"/>
          <w:szCs w:val="22"/>
        </w:rPr>
        <w:t>Строительство КЛ-0,4 кВ от оп. 6 ВЛИ-0,4 кВ ТП-5112  ПС Минеральная № 419, МО, Балашихинский р-н, с/о Новомилетский, д. Русавкино-Романово, уч. 36, 50:15:0080608:24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21C21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21C21">
        <w:rPr>
          <w:rFonts w:ascii="Times New Roman" w:hAnsi="Times New Roman" w:cs="Times New Roman"/>
          <w:b/>
          <w:snapToGrid w:val="0"/>
        </w:rPr>
        <w:t>Строительство КЛ-0,4 кВ от оп. 6 ВЛИ-0,4 кВ ТП-5112  ПС Минеральная № 419, МО, Балашихинский р-н, с/о Новомилетский, д. Русавкино-Романово, уч. 36, 50:15:0080608:24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21C21">
        <w:rPr>
          <w:b/>
          <w:color w:val="000000"/>
          <w:sz w:val="22"/>
          <w:szCs w:val="22"/>
        </w:rPr>
        <w:t>31.10.2026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21C21">
        <w:rPr>
          <w:rFonts w:ascii="Times New Roman" w:hAnsi="Times New Roman" w:cs="Times New Roman"/>
          <w:b/>
        </w:rPr>
        <w:t>341788,7828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21C21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21C21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21C21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21C21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C21" w:rsidRDefault="00F21C21" w:rsidP="0018059F">
      <w:pPr>
        <w:spacing w:after="0" w:line="240" w:lineRule="auto"/>
      </w:pPr>
      <w:r>
        <w:separator/>
      </w:r>
    </w:p>
  </w:endnote>
  <w:endnote w:type="continuationSeparator" w:id="0">
    <w:p w:rsidR="00F21C21" w:rsidRDefault="00F21C21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21C21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C21" w:rsidRDefault="00F21C21" w:rsidP="0018059F">
      <w:pPr>
        <w:spacing w:after="0" w:line="240" w:lineRule="auto"/>
      </w:pPr>
      <w:r>
        <w:separator/>
      </w:r>
    </w:p>
  </w:footnote>
  <w:footnote w:type="continuationSeparator" w:id="0">
    <w:p w:rsidR="00F21C21" w:rsidRDefault="00F21C21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2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21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21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31615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